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2017年崆峒区“三公”经费预算情况说明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2017年预算</w:t>
      </w:r>
      <w:r>
        <w:rPr>
          <w:rFonts w:hint="eastAsia" w:ascii="仿宋_GB2312" w:eastAsia="仿宋_GB2312"/>
          <w:sz w:val="32"/>
          <w:szCs w:val="32"/>
        </w:rPr>
        <w:t>坚持从严从简、勤俭办事</w:t>
      </w:r>
      <w:r>
        <w:rPr>
          <w:rFonts w:hint="eastAsia" w:ascii="仿宋_GB2312" w:eastAsia="仿宋_GB2312"/>
          <w:sz w:val="32"/>
          <w:szCs w:val="32"/>
          <w:lang w:eastAsia="zh-CN"/>
        </w:rPr>
        <w:t>的原则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切实</w:t>
      </w:r>
      <w:r>
        <w:rPr>
          <w:rFonts w:hint="eastAsia" w:ascii="仿宋_GB2312" w:eastAsia="仿宋_GB2312"/>
          <w:sz w:val="32"/>
          <w:szCs w:val="32"/>
        </w:rPr>
        <w:t>降低公务活动成本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</w:rPr>
        <w:t>提高公共产品质量和公共服务水平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严格控制一般性支出和“三公”经费，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2017年三公经费支出预算总额767万元，同比下降3%，其中：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1.公务接待费405万元，同比下降5.6%；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2.新增因公出国（境）费用12万元。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2.公务用车费361万元，其中：公务用车运行维护费350万元，同比下降3.1%</w:t>
      </w:r>
    </w:p>
    <w:tbl>
      <w:tblPr>
        <w:tblStyle w:val="4"/>
        <w:tblpPr w:leftFromText="180" w:rightFromText="180" w:vertAnchor="text" w:horzAnchor="page" w:tblpX="1508" w:tblpY="150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       目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1.因公出国（境）费用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2.公务接待费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3.公务用车费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其中：（1）公务用车运行维护费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（2）公务用车购置费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附件:2017年“三公”经费支出预算表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2017年“三公”经费支出预算表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77514"/>
    <w:rsid w:val="37A8581E"/>
    <w:rsid w:val="3F1A0B07"/>
    <w:rsid w:val="53F11316"/>
    <w:rsid w:val="616B4508"/>
    <w:rsid w:val="782425BB"/>
    <w:rsid w:val="7C6D0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蔡新龙</cp:lastModifiedBy>
  <dcterms:modified xsi:type="dcterms:W3CDTF">2017-06-14T03:25:07Z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