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2018年崆峒区“三公”经费预算情况说明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坚持从严从简、勤俭办事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降低公务活动成本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提高公共产品质量和公共服务水平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严格控制一般性支出和“三公”经费，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年三公经费支出预算总额7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万元，同比下降3%，其中：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1.公务接待费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万元，同比下降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%；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2.因公出国（境）费用12万元。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2.公务用车费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万元，同比下降3.1%</w:t>
      </w:r>
    </w:p>
    <w:tbl>
      <w:tblPr>
        <w:tblStyle w:val="4"/>
        <w:tblpPr w:leftFromText="180" w:rightFromText="180" w:vertAnchor="text" w:horzAnchor="page" w:tblpX="1508" w:tblpY="150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项       目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预  算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1.因公出国（境）费用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2.公务接待费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3.公务用车费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其中：（1）公务用车运行维护费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（2）公务用车购置费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附件:201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年“三公”经费支出预算表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2018年“三公”经费支出预算表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77514"/>
    <w:rsid w:val="201A4972"/>
    <w:rsid w:val="37A8581E"/>
    <w:rsid w:val="3D9C1D24"/>
    <w:rsid w:val="3F1A0B07"/>
    <w:rsid w:val="53F11316"/>
    <w:rsid w:val="616B4508"/>
    <w:rsid w:val="6A73592A"/>
    <w:rsid w:val="782425BB"/>
    <w:rsid w:val="7C6D0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dcterms:modified xsi:type="dcterms:W3CDTF">2018-04-10T07:23:57Z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