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崆峒区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支出预算的说明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预算编制管理基本情况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不断优化支出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，着力保障重点。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牢固树立过紧日子思想，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严格执行“零基预算”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以预算年度的工作任务和实际支出需求安排资金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取消可开支可不开支事项，大力压减一般性支出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压缩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“三公”经费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。坚持把“三保”摆在首位，对标保障范围和标准，做到应保尽保。加大项目精简整合力度，统筹保障中央和省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污染防治、乡村振兴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重点领域、重点事项支出。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提高统筹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统筹，增强供给能力。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加强全口径预算管理，加大部门各类资金统筹力度，全面优化项目设置，更加集中、直观反映部门主要职能和工作任务。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加大盘活存量资金清收力度，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对结余资金和连续两年未用完的结转资金，一律收回补充预算稳定调节基金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调整用于亟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待资金支持的民生领域。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（三）推进绩效管理，提升管理水平。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绩效管理工作与预算编制工作有机融合、同步实施，将绩效关口前移到预算项目的立项决策层面，对新出台重大政策和实施项目开展事前绩效评估、审核论证，评估结论作为预算安排的重要依据。严格绩效目标管理，未按要求设定绩效目标或审核未通过的，不安排预算。加强绩效评价结果运用，充分发挥财政资金效益，全面提升预算绩效管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区级</w:t>
      </w:r>
      <w:r>
        <w:rPr>
          <w:rFonts w:hint="eastAsia" w:ascii="黑体" w:hAnsi="黑体" w:eastAsia="黑体" w:cs="黑体"/>
          <w:sz w:val="32"/>
          <w:szCs w:val="32"/>
        </w:rPr>
        <w:t>预算安排情况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级一般公共预算支出预算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229120万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155475万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增加5280万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职工医保、工伤保险等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5382万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减少67万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“三项基础”建设经费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专项事业费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68263万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比上年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5838万元，主要是增加外贷还本及债券利息4667万元，破产企业职工个人账户医保1499万元，疫情防控及核酸检测费用1121万元，自然资源分局700万元；减少职工医保5738万元，执收执罚单位补助经费2000万元，标准化人影作业点建设587万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“三公”经费预算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649万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3%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6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分科目情况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一般公共服务支出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44545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公共安全支出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17414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69846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科学技术支出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文化旅游体育与传媒支出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2195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社会保障和就业支出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10842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卫生健康支出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17668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节能环保支出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城乡社区支出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15628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农林水支出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23855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交通运输支出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资源勘探工业信息等支出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544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商业服务业等支出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援助其他地区支出200万元；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自然资源海洋气象等支出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粮油物资储备支出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灾害防治及应急管理支出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预备费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债务付息支出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15849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三、重点保障情况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34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按照中央省市要求，预算安排优先保障“三保”支出资金需要，增加扶贫、环保、教育、卫生、城建等重点支出。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（一）保工资。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安排人员经费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155475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增加5280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增长4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%。主要是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增加绩效奖25237万元，职工医保5738万元，养老保险790万元，工伤保险142万元；减少业绩考核奖18133万元，双拥模范奖12207万元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全部列入预算，实现了政策规定内的各项人员经费应保尽保。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（二）保运转。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万元，较上年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减少67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主要是三项基础设施建设经费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，确保了全区各级党政机关正常运转。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（三）保重点。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安排专项事业费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68263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万元，较上年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减少5838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增加外贷还本及债券利息4667万元，破产企业职工个人账户医保1499万元，疫情防控及核酸检测费用1121万元，自然资源分局700万元，公务员医疗补助400万元；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医保5738万元，执收执罚单位补助经费2000万元，教育专项经费1582万元，标准化人影作业点建设587万元，环保专项资金430万元，垃圾焚烧发电项目区道路硬化371万元，事业单位工伤保险337万元，失地农民养老保险300万元，改善普通高中办学条件300万元，社区建设经费300万元，农产品安检认证仪器设备购置244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当年预算安排重点保障了以下几个方面：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一是保扶贫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和产业发展资金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7977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万元，其中：财政衔接推进乡村振兴补助资金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万元，工业园区产业发展引导资金、项目前期费、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废旧农膜回收及捡拾补助、农村公路养护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和农业保险等资金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二是保环保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生态环境保护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新增太统山历史遗留废弃矿山生态修复项目700万元，继续安排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环保专项、城乡绿化、生活垃圾处理、城区绿地管护等专项资金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三是保重点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，安排其他重点支出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万元，其中：教育方面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万元；医疗卫生方面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万元；社会保障方面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新增安破产企业职工个人账户医保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458万元，退役士兵优待补助及培训费86万元，精神障碍患者监护管理费47万元，继续安排工伤保险、失地农民养老保险、职业年金、村干部养老保险、公务员医保、困难群众、现役军人优待抚恤金等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；社会事业运行及能力建设方面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万元，新增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到期债券还本6023万元，鸿源大厦办公用房租赁费82万元，继续安排公安专项、综治网格化管理经费、民族工作专项经费、中心城区公益性建设、公厕维修改造、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社区建设、“信用崆峒”平台建设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“两站一室”建设经费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干部人事档案数字化建设及各部门开展专项工作经费等。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jUxY2ZmZmZmZmQyOWU4YTRhOThlMjI5NTMzNzIifQ=="/>
  </w:docVars>
  <w:rsids>
    <w:rsidRoot w:val="00000000"/>
    <w:rsid w:val="02490C5B"/>
    <w:rsid w:val="0A65702C"/>
    <w:rsid w:val="1BD01A18"/>
    <w:rsid w:val="1C272684"/>
    <w:rsid w:val="1D941E64"/>
    <w:rsid w:val="20C55AC3"/>
    <w:rsid w:val="26EB478C"/>
    <w:rsid w:val="2AC56715"/>
    <w:rsid w:val="2ED1497E"/>
    <w:rsid w:val="31C6521A"/>
    <w:rsid w:val="33CC13F4"/>
    <w:rsid w:val="35A0262F"/>
    <w:rsid w:val="37776676"/>
    <w:rsid w:val="3A2977FC"/>
    <w:rsid w:val="3D1C3E30"/>
    <w:rsid w:val="3E5B7D6D"/>
    <w:rsid w:val="3F1530B4"/>
    <w:rsid w:val="42020338"/>
    <w:rsid w:val="422B2874"/>
    <w:rsid w:val="4B3D313F"/>
    <w:rsid w:val="4D271DD5"/>
    <w:rsid w:val="4E6F1A6E"/>
    <w:rsid w:val="527D3D74"/>
    <w:rsid w:val="54006EF8"/>
    <w:rsid w:val="546D2D35"/>
    <w:rsid w:val="55023C6D"/>
    <w:rsid w:val="55E659D4"/>
    <w:rsid w:val="5632445C"/>
    <w:rsid w:val="58975A79"/>
    <w:rsid w:val="5AE83304"/>
    <w:rsid w:val="5C4C4403"/>
    <w:rsid w:val="6201087F"/>
    <w:rsid w:val="692935C0"/>
    <w:rsid w:val="71BA2F8A"/>
    <w:rsid w:val="781C7A69"/>
    <w:rsid w:val="78BC1FBB"/>
    <w:rsid w:val="7A85727C"/>
    <w:rsid w:val="7EF35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2010</Words>
  <Characters>2260</Characters>
  <Lines>0</Lines>
  <Paragraphs>0</Paragraphs>
  <TotalTime>77</TotalTime>
  <ScaleCrop>false</ScaleCrop>
  <LinksUpToDate>false</LinksUpToDate>
  <CharactersWithSpaces>2296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❤のン〇╀肆</cp:lastModifiedBy>
  <dcterms:modified xsi:type="dcterms:W3CDTF">2022-05-10T03:29:46Z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078375F5315E403FABD1B97EF0FD013D</vt:lpwstr>
  </property>
</Properties>
</file>